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01EA9B8E" w:rsidR="00B123FF" w:rsidRPr="00455A3C" w:rsidRDefault="002E3325" w:rsidP="00F60A53">
      <w:pPr>
        <w:pStyle w:val="F2-zkladn"/>
        <w:spacing w:line="276" w:lineRule="auto"/>
        <w:rPr>
          <w:b/>
          <w:sz w:val="28"/>
          <w:szCs w:val="28"/>
        </w:rPr>
      </w:pPr>
      <w:bookmarkStart w:id="0" w:name="_Hlk104376839"/>
      <w:bookmarkEnd w:id="0"/>
      <w:r>
        <w:rPr>
          <w:b/>
          <w:sz w:val="28"/>
          <w:szCs w:val="28"/>
        </w:rPr>
        <w:t>ANALÝZA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23055B70"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78405C">
        <w:t>2</w:t>
      </w:r>
      <w:r w:rsidR="00FC6110">
        <w:t>8</w:t>
      </w:r>
      <w:r w:rsidR="005420B4">
        <w:t>.</w:t>
      </w:r>
      <w:r w:rsidR="00F60A53">
        <w:t xml:space="preserve"> </w:t>
      </w:r>
      <w:r w:rsidR="00467BA4">
        <w:t>dubna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2277914D"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2E3325">
        <w:rPr>
          <w:rStyle w:val="normaltextrun"/>
          <w:rFonts w:ascii="Arial" w:hAnsi="Arial" w:cs="Arial"/>
          <w:b/>
          <w:bCs/>
          <w:color w:val="000000"/>
          <w:sz w:val="28"/>
          <w:szCs w:val="28"/>
          <w:lang w:val="cs-CZ"/>
        </w:rPr>
        <w:t>Jaké jsou předpoklady kapitálového trhu v klimatické krizi?</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2D4DB74C" w:rsidR="006B6F61" w:rsidRDefault="002E3325"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Obavy, že investoři možná nemají dostatečné nástroje k tomu, aby zvážili dopady klimatických rizik na svá investiční portfolia rostou, a to zejména pokud to vnímáme z vrchní perspektivy. To je zásadní, protože předpoklady kapitálového trhu (CMA) se promítají do návrhů strategické alokace aktiv (SAA). Abychom pomohli překlenout tyto nedostatky, začleňujeme do naší analýzy makroekonomických a finančních rizik i klimatické scénáře.</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14FF7054" w14:textId="2DED2275" w:rsidR="002C5176" w:rsidRDefault="002E3325"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V tomto shrnutí probíráme některé poznatky z nejnovějšího dokumentu </w:t>
      </w:r>
      <w:proofErr w:type="spellStart"/>
      <w:r>
        <w:rPr>
          <w:rFonts w:ascii="Arial" w:hAnsi="Arial" w:cs="Arial"/>
          <w:sz w:val="20"/>
          <w:szCs w:val="20"/>
          <w:lang w:val="cs-CZ" w:eastAsia="cs-CZ"/>
        </w:rPr>
        <w:t>Global</w:t>
      </w:r>
      <w:proofErr w:type="spellEnd"/>
      <w:r>
        <w:rPr>
          <w:rFonts w:ascii="Arial" w:hAnsi="Arial" w:cs="Arial"/>
          <w:sz w:val="20"/>
          <w:szCs w:val="20"/>
          <w:lang w:val="cs-CZ" w:eastAsia="cs-CZ"/>
        </w:rPr>
        <w:t xml:space="preserve"> </w:t>
      </w:r>
      <w:proofErr w:type="spellStart"/>
      <w:r>
        <w:rPr>
          <w:rFonts w:ascii="Arial" w:hAnsi="Arial" w:cs="Arial"/>
          <w:sz w:val="20"/>
          <w:szCs w:val="20"/>
          <w:lang w:val="cs-CZ" w:eastAsia="cs-CZ"/>
        </w:rPr>
        <w:t>Macro</w:t>
      </w:r>
      <w:proofErr w:type="spellEnd"/>
      <w:r>
        <w:rPr>
          <w:rFonts w:ascii="Arial" w:hAnsi="Arial" w:cs="Arial"/>
          <w:sz w:val="20"/>
          <w:szCs w:val="20"/>
          <w:lang w:val="cs-CZ" w:eastAsia="cs-CZ"/>
        </w:rPr>
        <w:t xml:space="preserve"> </w:t>
      </w:r>
      <w:r w:rsidRPr="002E3325">
        <w:rPr>
          <w:rFonts w:ascii="Arial" w:hAnsi="Arial" w:cs="Arial"/>
          <w:sz w:val="20"/>
          <w:szCs w:val="20"/>
          <w:lang w:val="cs-CZ" w:eastAsia="cs-CZ"/>
        </w:rPr>
        <w:t>&amp; SAA</w:t>
      </w:r>
      <w:r>
        <w:rPr>
          <w:rFonts w:ascii="Arial" w:hAnsi="Arial" w:cs="Arial"/>
          <w:sz w:val="20"/>
          <w:szCs w:val="20"/>
          <w:lang w:val="cs-CZ" w:eastAsia="cs-CZ"/>
        </w:rPr>
        <w:t xml:space="preserve"> týmu </w:t>
      </w:r>
      <w:proofErr w:type="spellStart"/>
      <w:r>
        <w:rPr>
          <w:rFonts w:ascii="Arial" w:hAnsi="Arial" w:cs="Arial"/>
          <w:sz w:val="20"/>
          <w:szCs w:val="20"/>
          <w:lang w:val="cs-CZ" w:eastAsia="cs-CZ"/>
        </w:rPr>
        <w:t>Fidelity</w:t>
      </w:r>
      <w:proofErr w:type="spellEnd"/>
      <w:r>
        <w:rPr>
          <w:rFonts w:ascii="Arial" w:hAnsi="Arial" w:cs="Arial"/>
          <w:sz w:val="20"/>
          <w:szCs w:val="20"/>
          <w:lang w:val="cs-CZ" w:eastAsia="cs-CZ"/>
        </w:rPr>
        <w:t xml:space="preserve"> </w:t>
      </w:r>
      <w:proofErr w:type="spellStart"/>
      <w:r>
        <w:rPr>
          <w:rFonts w:ascii="Arial" w:hAnsi="Arial" w:cs="Arial"/>
          <w:sz w:val="20"/>
          <w:szCs w:val="20"/>
          <w:lang w:val="cs-CZ" w:eastAsia="cs-CZ"/>
        </w:rPr>
        <w:t>Global</w:t>
      </w:r>
      <w:proofErr w:type="spellEnd"/>
      <w:r>
        <w:rPr>
          <w:rFonts w:ascii="Arial" w:hAnsi="Arial" w:cs="Arial"/>
          <w:sz w:val="20"/>
          <w:szCs w:val="20"/>
          <w:lang w:val="cs-CZ" w:eastAsia="cs-CZ"/>
        </w:rPr>
        <w:t xml:space="preserve"> </w:t>
      </w:r>
      <w:proofErr w:type="spellStart"/>
      <w:r>
        <w:rPr>
          <w:rFonts w:ascii="Arial" w:hAnsi="Arial" w:cs="Arial"/>
          <w:sz w:val="20"/>
          <w:szCs w:val="20"/>
          <w:lang w:val="cs-CZ" w:eastAsia="cs-CZ"/>
        </w:rPr>
        <w:t>Macro</w:t>
      </w:r>
      <w:proofErr w:type="spellEnd"/>
      <w:r>
        <w:rPr>
          <w:rFonts w:ascii="Arial" w:hAnsi="Arial" w:cs="Arial"/>
          <w:sz w:val="20"/>
          <w:szCs w:val="20"/>
          <w:lang w:val="cs-CZ" w:eastAsia="cs-CZ"/>
        </w:rPr>
        <w:t xml:space="preserve"> </w:t>
      </w:r>
      <w:proofErr w:type="spellStart"/>
      <w:r>
        <w:rPr>
          <w:rFonts w:ascii="Arial" w:hAnsi="Arial" w:cs="Arial"/>
          <w:sz w:val="20"/>
          <w:szCs w:val="20"/>
          <w:lang w:val="cs-CZ" w:eastAsia="cs-CZ"/>
        </w:rPr>
        <w:t>Insights</w:t>
      </w:r>
      <w:proofErr w:type="spellEnd"/>
      <w:r>
        <w:rPr>
          <w:rFonts w:ascii="Arial" w:hAnsi="Arial" w:cs="Arial"/>
          <w:sz w:val="20"/>
          <w:szCs w:val="20"/>
          <w:lang w:val="cs-CZ" w:eastAsia="cs-CZ"/>
        </w:rPr>
        <w:t>, který podporuje naši sérii „</w:t>
      </w:r>
      <w:proofErr w:type="spellStart"/>
      <w:r w:rsidR="00297239">
        <w:rPr>
          <w:rFonts w:ascii="Arial" w:hAnsi="Arial" w:cs="Arial"/>
          <w:sz w:val="20"/>
          <w:szCs w:val="20"/>
          <w:lang w:val="cs-CZ" w:eastAsia="cs-CZ"/>
        </w:rPr>
        <w:t>Race</w:t>
      </w:r>
      <w:proofErr w:type="spellEnd"/>
      <w:r w:rsidR="00297239">
        <w:rPr>
          <w:rFonts w:ascii="Arial" w:hAnsi="Arial" w:cs="Arial"/>
          <w:sz w:val="20"/>
          <w:szCs w:val="20"/>
          <w:lang w:val="cs-CZ" w:eastAsia="cs-CZ"/>
        </w:rPr>
        <w:t xml:space="preserve"> to net </w:t>
      </w:r>
      <w:proofErr w:type="spellStart"/>
      <w:r w:rsidR="00297239">
        <w:rPr>
          <w:rFonts w:ascii="Arial" w:hAnsi="Arial" w:cs="Arial"/>
          <w:sz w:val="20"/>
          <w:szCs w:val="20"/>
          <w:lang w:val="cs-CZ" w:eastAsia="cs-CZ"/>
        </w:rPr>
        <w:t>zero</w:t>
      </w:r>
      <w:proofErr w:type="spellEnd"/>
      <w:r w:rsidR="00297239">
        <w:rPr>
          <w:rFonts w:ascii="Arial" w:hAnsi="Arial" w:cs="Arial"/>
          <w:sz w:val="20"/>
          <w:szCs w:val="20"/>
          <w:lang w:val="cs-CZ" w:eastAsia="cs-CZ"/>
        </w:rPr>
        <w:t xml:space="preserve">“ a jehož autory jsou </w:t>
      </w:r>
      <w:proofErr w:type="spellStart"/>
      <w:r w:rsidR="00297239">
        <w:rPr>
          <w:rFonts w:ascii="Arial" w:hAnsi="Arial" w:cs="Arial"/>
          <w:sz w:val="20"/>
          <w:szCs w:val="20"/>
          <w:lang w:val="cs-CZ" w:eastAsia="cs-CZ"/>
        </w:rPr>
        <w:t>Salman</w:t>
      </w:r>
      <w:proofErr w:type="spellEnd"/>
      <w:r w:rsidR="00297239">
        <w:rPr>
          <w:rFonts w:ascii="Arial" w:hAnsi="Arial" w:cs="Arial"/>
          <w:sz w:val="20"/>
          <w:szCs w:val="20"/>
          <w:lang w:val="cs-CZ" w:eastAsia="cs-CZ"/>
        </w:rPr>
        <w:t xml:space="preserve"> Ahmed, globální vedoucí oddělení makro a strategické alokace aktiv, Anna </w:t>
      </w:r>
      <w:proofErr w:type="spellStart"/>
      <w:r w:rsidR="00297239">
        <w:rPr>
          <w:rFonts w:ascii="Arial" w:hAnsi="Arial" w:cs="Arial"/>
          <w:sz w:val="20"/>
          <w:szCs w:val="20"/>
          <w:lang w:val="cs-CZ" w:eastAsia="cs-CZ"/>
        </w:rPr>
        <w:t>Stupnytska</w:t>
      </w:r>
      <w:proofErr w:type="spellEnd"/>
      <w:r w:rsidR="00297239">
        <w:rPr>
          <w:rFonts w:ascii="Arial" w:hAnsi="Arial" w:cs="Arial"/>
          <w:sz w:val="20"/>
          <w:szCs w:val="20"/>
          <w:lang w:val="cs-CZ" w:eastAsia="cs-CZ"/>
        </w:rPr>
        <w:t xml:space="preserve">, globální makroekonomka, </w:t>
      </w:r>
      <w:proofErr w:type="spellStart"/>
      <w:r w:rsidR="00170309">
        <w:rPr>
          <w:rFonts w:ascii="Arial" w:hAnsi="Arial" w:cs="Arial"/>
          <w:sz w:val="20"/>
          <w:szCs w:val="20"/>
          <w:lang w:val="cs-CZ" w:eastAsia="cs-CZ"/>
        </w:rPr>
        <w:t>Edoardo</w:t>
      </w:r>
      <w:proofErr w:type="spellEnd"/>
      <w:r w:rsidR="00170309">
        <w:rPr>
          <w:rFonts w:ascii="Arial" w:hAnsi="Arial" w:cs="Arial"/>
          <w:sz w:val="20"/>
          <w:szCs w:val="20"/>
          <w:lang w:val="cs-CZ" w:eastAsia="cs-CZ"/>
        </w:rPr>
        <w:t xml:space="preserve"> </w:t>
      </w:r>
      <w:proofErr w:type="spellStart"/>
      <w:r w:rsidR="00170309">
        <w:rPr>
          <w:rFonts w:ascii="Arial" w:hAnsi="Arial" w:cs="Arial"/>
          <w:sz w:val="20"/>
          <w:szCs w:val="20"/>
          <w:lang w:val="cs-CZ" w:eastAsia="cs-CZ"/>
        </w:rPr>
        <w:t>Cilla</w:t>
      </w:r>
      <w:proofErr w:type="spellEnd"/>
      <w:r w:rsidR="00170309">
        <w:rPr>
          <w:rFonts w:ascii="Arial" w:hAnsi="Arial" w:cs="Arial"/>
          <w:sz w:val="20"/>
          <w:szCs w:val="20"/>
          <w:lang w:val="cs-CZ" w:eastAsia="cs-CZ"/>
        </w:rPr>
        <w:t xml:space="preserve">, stratég CMA a Stefan </w:t>
      </w:r>
      <w:proofErr w:type="spellStart"/>
      <w:r w:rsidR="00170309">
        <w:rPr>
          <w:rFonts w:ascii="Arial" w:hAnsi="Arial" w:cs="Arial"/>
          <w:sz w:val="20"/>
          <w:szCs w:val="20"/>
          <w:lang w:val="cs-CZ" w:eastAsia="cs-CZ"/>
        </w:rPr>
        <w:t>Rusev</w:t>
      </w:r>
      <w:proofErr w:type="spellEnd"/>
      <w:r w:rsidR="00170309">
        <w:rPr>
          <w:rFonts w:ascii="Arial" w:hAnsi="Arial" w:cs="Arial"/>
          <w:sz w:val="20"/>
          <w:szCs w:val="20"/>
          <w:lang w:val="cs-CZ" w:eastAsia="cs-CZ"/>
        </w:rPr>
        <w:t>, senior stratég SAA.</w:t>
      </w:r>
    </w:p>
    <w:p w14:paraId="366A7A93" w14:textId="5A4FDB63" w:rsidR="00170309" w:rsidRPr="006F4F09" w:rsidRDefault="00170309" w:rsidP="00170309">
      <w:pPr>
        <w:spacing w:after="210" w:line="276" w:lineRule="auto"/>
      </w:pPr>
      <w:r>
        <w:rPr>
          <w:rFonts w:eastAsiaTheme="minorHAnsi"/>
          <w:b/>
          <w:lang w:eastAsia="en-US"/>
        </w:rPr>
        <w:t>Odraz změny klimatu</w:t>
      </w:r>
    </w:p>
    <w:p w14:paraId="75D0F30C" w14:textId="0B0AE5FA" w:rsidR="002C5176" w:rsidRDefault="00170309" w:rsidP="00CA4CBC">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Ruská invaze na Ukrajinu nabízí pohled na to, co by mohla způsobit neřízená transformace energetiky. Opožděné nebo rozdílné reakce na celosvětové úrovni narušují hospodářské aktivity, zvyšují nejistotu na finančních trzích a zvyšují transformační rizika. Ta přitom mohou přispět k inflaci. A jak jsme byli letos svědky, boj s inflací není snadný.</w:t>
      </w:r>
    </w:p>
    <w:p w14:paraId="2FC152E7" w14:textId="52723BF2" w:rsidR="002C5176" w:rsidRPr="002C5176" w:rsidRDefault="00170309" w:rsidP="00CA4CBC">
      <w:pPr>
        <w:spacing w:after="210" w:line="276" w:lineRule="auto"/>
      </w:pPr>
      <w:r>
        <w:t xml:space="preserve">Domníváme se, že klimatické riziko je finanční riziko a mělo by být zahrnuto do předpokladů kapitálových trhů (CMA). Naše klimatické CMA v široce přijímaném rámci založeném na různých scénářích, které poskytuje Síť pro zelenější finanční systém (NGFS), což je celosvětová koalice zhruba 135 centrálních bank a orgánů dohledu. Rámec je postaven na šesti scénářích uspořádaných do tří kategorií: řízená transformace; neřízená transformace; a „horký svět“ (tedy situace, kdy částečné kroky nezajistí zastavení globálního oteplování). </w:t>
      </w:r>
    </w:p>
    <w:p w14:paraId="52971076" w14:textId="17A044E9" w:rsidR="00660480" w:rsidRPr="006F4F09" w:rsidRDefault="00660480" w:rsidP="00CA4CBC">
      <w:pPr>
        <w:spacing w:after="210" w:line="276" w:lineRule="auto"/>
      </w:pPr>
      <w:r>
        <w:rPr>
          <w:rFonts w:eastAsiaTheme="minorHAnsi"/>
          <w:b/>
          <w:lang w:eastAsia="en-US"/>
        </w:rPr>
        <w:t>Některé body našeho výzkumu</w:t>
      </w:r>
    </w:p>
    <w:p w14:paraId="60229914" w14:textId="515E20F6" w:rsidR="0078405C" w:rsidRDefault="00660480" w:rsidP="00CA4CBC">
      <w:pPr>
        <w:spacing w:after="210" w:line="276" w:lineRule="auto"/>
      </w:pPr>
      <w:r>
        <w:t xml:space="preserve">Změna klimatu zvyšuje nejistotu v globální ekonomice, a tím zvyšuje makroekonomická a finanční rizika, což má podstatný dopad na potenciál rizik a výnosů (viz obrázek 1). Například odhadované roční snížení výnosů globálních akcií mezi základním scénářem společnosti </w:t>
      </w:r>
      <w:proofErr w:type="spellStart"/>
      <w:r>
        <w:t>Fidelity</w:t>
      </w:r>
      <w:proofErr w:type="spellEnd"/>
      <w:r>
        <w:t xml:space="preserve">, který je klimaticky neagresivní, a scénářem NGFS pro horký svět činí 100 bazických bodů, což v součtu za 10 let představuje přibližně 13 %. </w:t>
      </w:r>
    </w:p>
    <w:p w14:paraId="418DDF53" w14:textId="77777777" w:rsidR="004C5F47" w:rsidRDefault="004C5F47" w:rsidP="00CA4CBC">
      <w:pPr>
        <w:pStyle w:val="F2-zkladn"/>
        <w:spacing w:line="276" w:lineRule="auto"/>
        <w:rPr>
          <w:rFonts w:eastAsiaTheme="minorHAnsi"/>
        </w:rPr>
      </w:pPr>
    </w:p>
    <w:p w14:paraId="3855AB4F" w14:textId="40DB99D3" w:rsidR="002C5176" w:rsidRDefault="004C5F47" w:rsidP="00CA4CBC">
      <w:pPr>
        <w:spacing w:after="210" w:line="276" w:lineRule="auto"/>
        <w:rPr>
          <w:rFonts w:eastAsiaTheme="minorHAnsi"/>
          <w:b/>
          <w:lang w:eastAsia="en-US"/>
        </w:rPr>
      </w:pPr>
      <w:r>
        <w:rPr>
          <w:noProof/>
        </w:rPr>
        <w:lastRenderedPageBreak/>
        <w:drawing>
          <wp:anchor distT="0" distB="0" distL="114300" distR="114300" simplePos="0" relativeHeight="251660288" behindDoc="1" locked="0" layoutInCell="1" allowOverlap="1" wp14:anchorId="7B0CB081" wp14:editId="3548584F">
            <wp:simplePos x="0" y="0"/>
            <wp:positionH relativeFrom="margin">
              <wp:posOffset>24130</wp:posOffset>
            </wp:positionH>
            <wp:positionV relativeFrom="paragraph">
              <wp:posOffset>243840</wp:posOffset>
            </wp:positionV>
            <wp:extent cx="5759450" cy="1600835"/>
            <wp:effectExtent l="0" t="0" r="0" b="0"/>
            <wp:wrapTight wrapText="bothSides">
              <wp:wrapPolygon edited="0">
                <wp:start x="0" y="0"/>
                <wp:lineTo x="0" y="6683"/>
                <wp:lineTo x="500" y="8225"/>
                <wp:lineTo x="500" y="21334"/>
                <wp:lineTo x="6573" y="21334"/>
                <wp:lineTo x="19219" y="20820"/>
                <wp:lineTo x="19576" y="20563"/>
                <wp:lineTo x="21005" y="17222"/>
                <wp:lineTo x="21005" y="16451"/>
                <wp:lineTo x="21433" y="12338"/>
                <wp:lineTo x="21290" y="8225"/>
                <wp:lineTo x="20790" y="5141"/>
                <wp:lineTo x="20647" y="3342"/>
                <wp:lineTo x="18361" y="771"/>
                <wp:lineTo x="17218" y="0"/>
                <wp:lineTo x="0" y="0"/>
              </wp:wrapPolygon>
            </wp:wrapTight>
            <wp:docPr id="211802444" name="Obrázek 211802444" descr="Obsah obrázku tabul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bsah obrázku tabulka&#10;&#10;Popis byl vytvořen automaticky"/>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1600835"/>
                    </a:xfrm>
                    <a:prstGeom prst="rect">
                      <a:avLst/>
                    </a:prstGeom>
                  </pic:spPr>
                </pic:pic>
              </a:graphicData>
            </a:graphic>
          </wp:anchor>
        </w:drawing>
      </w:r>
      <w:r w:rsidR="00C62ECF">
        <w:rPr>
          <w:rFonts w:eastAsiaTheme="minorHAnsi"/>
          <w:b/>
          <w:lang w:eastAsia="en-US"/>
        </w:rPr>
        <w:t xml:space="preserve">Graf </w:t>
      </w:r>
      <w:r w:rsidR="0078405C">
        <w:rPr>
          <w:rFonts w:eastAsiaTheme="minorHAnsi"/>
          <w:b/>
          <w:lang w:eastAsia="en-US"/>
        </w:rPr>
        <w:t xml:space="preserve">1: </w:t>
      </w:r>
      <w:r w:rsidR="00660480">
        <w:rPr>
          <w:rFonts w:eastAsiaTheme="minorHAnsi"/>
          <w:b/>
          <w:lang w:eastAsia="en-US"/>
        </w:rPr>
        <w:t>Odhadované desetileté roční reálné výnosy, základní scénář vs. klimatické scénáře</w:t>
      </w:r>
    </w:p>
    <w:p w14:paraId="6B70974B" w14:textId="27380202" w:rsidR="00660480" w:rsidRPr="00660480" w:rsidRDefault="00660480" w:rsidP="00CA4CBC">
      <w:pPr>
        <w:pStyle w:val="F2-zkladn"/>
        <w:spacing w:line="276" w:lineRule="auto"/>
        <w:rPr>
          <w:rFonts w:eastAsiaTheme="minorHAnsi"/>
          <w:lang w:eastAsia="en-US"/>
        </w:rPr>
      </w:pPr>
    </w:p>
    <w:p w14:paraId="0A086974" w14:textId="6176DA45" w:rsidR="004C5F47" w:rsidRPr="0078405C" w:rsidRDefault="004C5F47" w:rsidP="00CA4CBC">
      <w:pPr>
        <w:pStyle w:val="F2-zkladn"/>
        <w:spacing w:line="276" w:lineRule="auto"/>
        <w:rPr>
          <w:i/>
          <w:iCs/>
          <w:sz w:val="18"/>
          <w:szCs w:val="18"/>
          <w:lang w:eastAsia="en-US"/>
        </w:rPr>
      </w:pPr>
      <w:r w:rsidRPr="0078405C">
        <w:rPr>
          <w:i/>
          <w:iCs/>
          <w:sz w:val="18"/>
          <w:szCs w:val="18"/>
          <w:lang w:eastAsia="en-US"/>
        </w:rPr>
        <w:t xml:space="preserve">Zdroj: </w:t>
      </w:r>
      <w:proofErr w:type="spellStart"/>
      <w:r w:rsidRPr="0078405C">
        <w:rPr>
          <w:i/>
          <w:iCs/>
          <w:sz w:val="18"/>
          <w:szCs w:val="18"/>
          <w:lang w:eastAsia="en-US"/>
        </w:rPr>
        <w:t>Fidelity</w:t>
      </w:r>
      <w:proofErr w:type="spellEnd"/>
      <w:r w:rsidRPr="0078405C">
        <w:rPr>
          <w:i/>
          <w:iCs/>
          <w:sz w:val="18"/>
          <w:szCs w:val="18"/>
          <w:lang w:eastAsia="en-US"/>
        </w:rPr>
        <w:t xml:space="preserve"> International, </w:t>
      </w:r>
      <w:r>
        <w:rPr>
          <w:i/>
          <w:iCs/>
          <w:sz w:val="18"/>
          <w:szCs w:val="18"/>
          <w:lang w:eastAsia="en-US"/>
        </w:rPr>
        <w:t>b</w:t>
      </w:r>
      <w:r w:rsidRPr="0078405C">
        <w:rPr>
          <w:i/>
          <w:iCs/>
          <w:sz w:val="18"/>
          <w:szCs w:val="18"/>
          <w:lang w:eastAsia="en-US"/>
        </w:rPr>
        <w:t>řezen 2023</w:t>
      </w:r>
      <w:r>
        <w:rPr>
          <w:i/>
          <w:iCs/>
          <w:sz w:val="18"/>
          <w:szCs w:val="18"/>
          <w:lang w:eastAsia="en-US"/>
        </w:rPr>
        <w:t xml:space="preserve">. Pouze pro ilustrační účely. Předpoklady jsou denominovány v amerických dolarech a vycházejí z vlastního modelování CMA. Základní scénář se vztahuje k základnímu scénáři společnosti </w:t>
      </w:r>
      <w:proofErr w:type="spellStart"/>
      <w:r>
        <w:rPr>
          <w:i/>
          <w:iCs/>
          <w:sz w:val="18"/>
          <w:szCs w:val="18"/>
          <w:lang w:eastAsia="en-US"/>
        </w:rPr>
        <w:t>Fidelity</w:t>
      </w:r>
      <w:proofErr w:type="spellEnd"/>
      <w:r>
        <w:rPr>
          <w:i/>
          <w:iCs/>
          <w:sz w:val="18"/>
          <w:szCs w:val="18"/>
          <w:lang w:eastAsia="en-US"/>
        </w:rPr>
        <w:t xml:space="preserve">, který se netýká klimatu. Spořádané scénáře NGFS předpokládají, že klimatické politiky budou zavedeny včas a postupně se zpřísní, aby se omezil nárůst průměrné teploty oproti předindustriální úrovni pod 2,0 </w:t>
      </w:r>
      <w:r w:rsidRPr="004C5F47">
        <w:rPr>
          <w:i/>
          <w:iCs/>
          <w:sz w:val="18"/>
          <w:szCs w:val="18"/>
          <w:lang w:eastAsia="en-US"/>
        </w:rPr>
        <w:t>°C</w:t>
      </w:r>
      <w:r>
        <w:rPr>
          <w:i/>
          <w:iCs/>
          <w:sz w:val="18"/>
          <w:szCs w:val="18"/>
          <w:lang w:eastAsia="en-US"/>
        </w:rPr>
        <w:t xml:space="preserve">. Neuspořádané scénáře NGFS odrážejí vyšší riziko transformace v důsledku opožděných a rozdílných opatření v oblasti klimatu. Scénáře NGFS „hot house </w:t>
      </w:r>
      <w:proofErr w:type="spellStart"/>
      <w:r>
        <w:rPr>
          <w:i/>
          <w:iCs/>
          <w:sz w:val="18"/>
          <w:szCs w:val="18"/>
          <w:lang w:eastAsia="en-US"/>
        </w:rPr>
        <w:t>world</w:t>
      </w:r>
      <w:proofErr w:type="spellEnd"/>
      <w:r>
        <w:rPr>
          <w:i/>
          <w:iCs/>
          <w:sz w:val="18"/>
          <w:szCs w:val="18"/>
          <w:lang w:eastAsia="en-US"/>
        </w:rPr>
        <w:t>“ vedou k vážnému přírodnímu riziku v důsledku nedostatečných opatření ke zmírnění dopadů globálního oteplování. Poznámka: Desetileté období je od 28. února 2023.</w:t>
      </w:r>
    </w:p>
    <w:p w14:paraId="3AF8185B" w14:textId="00C11F36" w:rsidR="002C5176" w:rsidRPr="002C5176" w:rsidRDefault="004C5F47" w:rsidP="00CA4CBC">
      <w:pPr>
        <w:spacing w:after="210" w:line="276" w:lineRule="auto"/>
      </w:pPr>
      <w:r>
        <w:t xml:space="preserve">Potenciál růstu hrubého domácího produktu (HDP) je ve všech klimatických scénářích NGFS nižší ve srovnání s naším základním scénářem bez vlivu na klima, přičemž tento potenciál není rovnoměrně rozložen mezi různé regiony a scénáře. V dlouhodobém horizontu do roku 2050 je růst </w:t>
      </w:r>
      <w:r w:rsidR="00C62ECF">
        <w:t>HDP ovlivněn ve spořádaných scénářích méně negativně, ve srovnání s ne</w:t>
      </w:r>
      <w:r w:rsidR="00CA4CBC">
        <w:t>řízenou</w:t>
      </w:r>
      <w:r w:rsidR="00C62ECF">
        <w:t xml:space="preserve"> transformací a „horkým světem“.</w:t>
      </w:r>
    </w:p>
    <w:p w14:paraId="18586FB5" w14:textId="531B776B" w:rsidR="00C62ECF" w:rsidRPr="00C62ECF" w:rsidRDefault="00C62ECF" w:rsidP="00CA4CBC">
      <w:pPr>
        <w:spacing w:after="210" w:line="276" w:lineRule="auto"/>
      </w:pPr>
      <w:r>
        <w:t>To je do značné míry způsobeno tím, jak klimatická změna a přírodní rizika interagují s makroekonomickými proměnnými, jako je růst HDP, inflace a úrokové sazby. Například klimatická rizika zvyšují v příštím desetiletí riziko inflace (viz graf 2), což zvyšuje nejistotu v oblasti úrokových sazeb, protože centrální banky musí balancovat mezi řízením inflace a růstem HDP.</w:t>
      </w:r>
    </w:p>
    <w:p w14:paraId="16806AB7" w14:textId="07F4BDA1" w:rsidR="0078405C" w:rsidRDefault="00484077" w:rsidP="00CA4CBC">
      <w:pPr>
        <w:spacing w:after="210" w:line="276" w:lineRule="auto"/>
      </w:pPr>
      <w:r>
        <w:rPr>
          <w:rFonts w:eastAsiaTheme="minorHAnsi"/>
          <w:b/>
          <w:lang w:eastAsia="en-US"/>
        </w:rPr>
        <w:t xml:space="preserve">Graf 2: </w:t>
      </w:r>
      <w:r w:rsidR="00C62ECF">
        <w:rPr>
          <w:rFonts w:eastAsiaTheme="minorHAnsi"/>
          <w:b/>
          <w:lang w:eastAsia="en-US"/>
        </w:rPr>
        <w:t>Desetiletá meziroční odchylka inflace od základní hodnoty</w:t>
      </w:r>
    </w:p>
    <w:p w14:paraId="4D866AC5" w14:textId="77777777" w:rsidR="00C62ECF" w:rsidRDefault="00C62ECF" w:rsidP="00CA4CBC">
      <w:pPr>
        <w:spacing w:after="210" w:line="276" w:lineRule="auto"/>
      </w:pPr>
      <w:r>
        <w:object w:dxaOrig="5657" w:dyaOrig="2830" w14:anchorId="419E9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193.5pt" o:ole="">
            <v:imagedata r:id="rId13" o:title="" cropbottom="13130f"/>
          </v:shape>
          <o:OLEObject Type="Embed" ProgID="PowerPoint.Slide.12" ShapeID="_x0000_i1025" DrawAspect="Content" ObjectID="_1744184433" r:id="rId14"/>
        </w:object>
      </w:r>
    </w:p>
    <w:p w14:paraId="3CAFA932" w14:textId="35BF6589" w:rsidR="00C62ECF" w:rsidRDefault="00C62ECF" w:rsidP="00CA4CBC">
      <w:pPr>
        <w:spacing w:after="210" w:line="276" w:lineRule="auto"/>
        <w:rPr>
          <w:i/>
          <w:iCs/>
          <w:sz w:val="18"/>
          <w:szCs w:val="18"/>
          <w:lang w:eastAsia="en-US"/>
        </w:rPr>
      </w:pPr>
      <w:r>
        <w:rPr>
          <w:i/>
          <w:iCs/>
          <w:sz w:val="18"/>
          <w:szCs w:val="18"/>
          <w:lang w:eastAsia="en-US"/>
        </w:rPr>
        <w:t xml:space="preserve">Zdroj: </w:t>
      </w:r>
      <w:proofErr w:type="spellStart"/>
      <w:r>
        <w:rPr>
          <w:i/>
          <w:iCs/>
          <w:sz w:val="18"/>
          <w:szCs w:val="18"/>
          <w:lang w:eastAsia="en-US"/>
        </w:rPr>
        <w:t>Fidelity</w:t>
      </w:r>
      <w:proofErr w:type="spellEnd"/>
      <w:r>
        <w:rPr>
          <w:i/>
          <w:iCs/>
          <w:sz w:val="18"/>
          <w:szCs w:val="18"/>
          <w:lang w:eastAsia="en-US"/>
        </w:rPr>
        <w:t xml:space="preserve"> International, březen 2023. Předpoklady vycházejí z vlastního modelování CMA. Pouze pro ilustrační účely. Poznámka: Desetileté období je od 28. února 2023 do 27. února 2033. Základní scénář </w:t>
      </w:r>
      <w:r w:rsidR="008B5C9A">
        <w:rPr>
          <w:i/>
          <w:iCs/>
          <w:sz w:val="18"/>
          <w:szCs w:val="18"/>
          <w:lang w:eastAsia="en-US"/>
        </w:rPr>
        <w:t xml:space="preserve">se vztahuje k základnímu scénáři společnosti </w:t>
      </w:r>
      <w:proofErr w:type="spellStart"/>
      <w:r w:rsidR="008B5C9A">
        <w:rPr>
          <w:i/>
          <w:iCs/>
          <w:sz w:val="18"/>
          <w:szCs w:val="18"/>
          <w:lang w:eastAsia="en-US"/>
        </w:rPr>
        <w:t>Fidelity</w:t>
      </w:r>
      <w:proofErr w:type="spellEnd"/>
      <w:r w:rsidR="008B5C9A">
        <w:rPr>
          <w:i/>
          <w:iCs/>
          <w:sz w:val="18"/>
          <w:szCs w:val="18"/>
          <w:lang w:eastAsia="en-US"/>
        </w:rPr>
        <w:t>, který se netýká klimatu. EU se vztahuje k hospodářské a měnové unii.</w:t>
      </w:r>
    </w:p>
    <w:p w14:paraId="416D347E" w14:textId="69839EC0" w:rsidR="00C62ECF" w:rsidRDefault="008B5C9A" w:rsidP="00CA4CBC">
      <w:pPr>
        <w:spacing w:after="210" w:line="276" w:lineRule="auto"/>
      </w:pPr>
      <w:r>
        <w:t xml:space="preserve">Klimatické riziko také různě ovlivňuje charakteristiky rizika a výnosu jednotlivých tříd aktiv. Pevný výnos je změnou klimatu ovlivněn méně, protože dopad na cenu je obvykle kompenzován vyšším výnosem, </w:t>
      </w:r>
      <w:r>
        <w:lastRenderedPageBreak/>
        <w:t>ačkoli velikost jednotlivých složek se může lišit. Naopak akcie vykazují větší citlivost na změnu klimatu vzhledem k tomu, že jejich ocenění je obvykle založeno na diskontovaných budoucích peněžních tocích, které jsou v případě scénářů neuspořádané transformace a „horkého světa“ nejvíce penalizovány v důsledku vyšších transformačních, resp. přírodních rizik.</w:t>
      </w:r>
    </w:p>
    <w:p w14:paraId="29890F3E" w14:textId="1314B560" w:rsidR="00EB3306" w:rsidRDefault="008B5C9A" w:rsidP="00CA4CBC">
      <w:pPr>
        <w:spacing w:after="210" w:line="276" w:lineRule="auto"/>
      </w:pPr>
      <w:r>
        <w:rPr>
          <w:rFonts w:eastAsiaTheme="minorHAnsi"/>
          <w:b/>
          <w:lang w:eastAsia="en-US"/>
        </w:rPr>
        <w:t>Důsledky pro tvorbu portfolia</w:t>
      </w:r>
    </w:p>
    <w:p w14:paraId="43125379" w14:textId="0423F91D" w:rsidR="002C5176" w:rsidRPr="002C5176" w:rsidRDefault="008B5C9A" w:rsidP="00CA4CBC">
      <w:pPr>
        <w:spacing w:after="210" w:line="276" w:lineRule="auto"/>
      </w:pPr>
      <w:r>
        <w:t xml:space="preserve">Pečlivé vyhodnocení klimatického rizika, které investoři podstupují </w:t>
      </w:r>
      <w:r w:rsidRPr="008B5C9A">
        <w:t>–</w:t>
      </w:r>
      <w:r>
        <w:t xml:space="preserve"> ať už úmyslně, nebo neúmyslně </w:t>
      </w:r>
      <w:r w:rsidRPr="008B5C9A">
        <w:t>–</w:t>
      </w:r>
      <w:r>
        <w:t xml:space="preserve"> v porovnání </w:t>
      </w:r>
      <w:r w:rsidR="006D5F3A">
        <w:t>se základními faktory výkonnosti prostřednictvím různých klimatických scénářů, může investorům pomoci optimalizovat výnosy očištěné o riziko. Některé úvahy zahrnují následující:</w:t>
      </w:r>
    </w:p>
    <w:p w14:paraId="6E3310BC" w14:textId="57A2E45D" w:rsidR="002C5176" w:rsidRPr="002C5176" w:rsidRDefault="006D5F3A" w:rsidP="00CA4CBC">
      <w:pPr>
        <w:pStyle w:val="Odstavecseseznamem"/>
        <w:numPr>
          <w:ilvl w:val="0"/>
          <w:numId w:val="24"/>
        </w:numPr>
        <w:spacing w:after="210" w:line="276" w:lineRule="auto"/>
      </w:pPr>
      <w:r>
        <w:t>Při zahrnutí klimatických rizik do CMA se očekává širší soubor výsledků.</w:t>
      </w:r>
    </w:p>
    <w:p w14:paraId="7493A98C" w14:textId="0627B5B8" w:rsidR="002C5176" w:rsidRDefault="006D5F3A" w:rsidP="00CA4CBC">
      <w:pPr>
        <w:pStyle w:val="Odstavecseseznamem"/>
        <w:numPr>
          <w:ilvl w:val="0"/>
          <w:numId w:val="24"/>
        </w:numPr>
        <w:spacing w:after="210" w:line="276" w:lineRule="auto"/>
      </w:pPr>
      <w:r>
        <w:t>Větší rozptyl a vyšší nejistota na úrovni regionů, zemí a odvětví v důsledku klimatických rizik mohou vyžadovat promyšlenější a dynamičtější provádění investičních strategií.</w:t>
      </w:r>
    </w:p>
    <w:p w14:paraId="22741768" w14:textId="663729B8" w:rsidR="006D5F3A" w:rsidRDefault="006D5F3A" w:rsidP="00CA4CBC">
      <w:pPr>
        <w:pStyle w:val="Odstavecseseznamem"/>
        <w:numPr>
          <w:ilvl w:val="0"/>
          <w:numId w:val="24"/>
        </w:numPr>
        <w:spacing w:after="210" w:line="276" w:lineRule="auto"/>
      </w:pPr>
      <w:r>
        <w:t>Významné jsou také základní faktory ovlivňující výkonnost při integraci klimatických rizik do CMA. Tyto složky výnosu se mohou v průběhu času rovněž výrazně měnit.</w:t>
      </w:r>
    </w:p>
    <w:p w14:paraId="0B97AB0F" w14:textId="4D0C196B" w:rsidR="006D5F3A" w:rsidRDefault="006D5F3A" w:rsidP="00CA4CBC">
      <w:pPr>
        <w:pStyle w:val="Odstavecseseznamem"/>
        <w:numPr>
          <w:ilvl w:val="0"/>
          <w:numId w:val="24"/>
        </w:numPr>
        <w:spacing w:after="210" w:line="276" w:lineRule="auto"/>
      </w:pPr>
      <w:r>
        <w:t xml:space="preserve">Volatilita některých regionů a tříd aktiv se pravděpodobně zvýší, pokud budou klimatická rizika integrována do CMA. </w:t>
      </w:r>
    </w:p>
    <w:p w14:paraId="5391027E" w14:textId="180F1657" w:rsidR="006D5F3A" w:rsidRPr="002C5176" w:rsidRDefault="006D5F3A" w:rsidP="00CA4CBC">
      <w:pPr>
        <w:pStyle w:val="Odstavecseseznamem"/>
        <w:numPr>
          <w:ilvl w:val="0"/>
          <w:numId w:val="24"/>
        </w:numPr>
        <w:spacing w:after="210" w:line="276" w:lineRule="auto"/>
      </w:pPr>
      <w:r>
        <w:t>Přírodní rizika a rizika transformace jsou vzájemně propojena a mohou se vyvíjet velmi nejistě, být nezvratná a mít rozdělení na krajích široké.</w:t>
      </w:r>
    </w:p>
    <w:p w14:paraId="098ADCE8" w14:textId="64446905" w:rsidR="002C5176" w:rsidRDefault="00D4240E" w:rsidP="00CA4CBC">
      <w:pPr>
        <w:spacing w:after="210" w:line="276" w:lineRule="auto"/>
      </w:pPr>
      <w:r>
        <w:t>Podle našeho názoru může nedostatečné zohlednění klimatických rizik vést přinejlepším k mylným očekáváním výnosů. V horším případě mohou investoři přehlédnout rostoucí možnost negativních a systémových narušení finančního trhu s tím, jak se dopady změny klimatu rozšiřují a zesilují.</w:t>
      </w:r>
    </w:p>
    <w:p w14:paraId="09C81983" w14:textId="77777777" w:rsidR="00D4240E" w:rsidRPr="00D4240E" w:rsidRDefault="00D4240E" w:rsidP="00CA4CBC">
      <w:pPr>
        <w:pStyle w:val="F2-zkladn"/>
        <w:spacing w:line="276" w:lineRule="auto"/>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5"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w:t>
      </w:r>
      <w:r w:rsidRPr="00D404D5">
        <w:rPr>
          <w:color w:val="000000"/>
          <w:lang w:eastAsia="en-US"/>
        </w:rPr>
        <w:lastRenderedPageBreak/>
        <w:t>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lastRenderedPageBreak/>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63F04084" w14:textId="327891A3" w:rsidR="00594851" w:rsidRDefault="00FC6110" w:rsidP="002027ED">
      <w:pPr>
        <w:pStyle w:val="F2-zkladn"/>
      </w:pPr>
      <w:r w:rsidRPr="00FC6110">
        <w:t>MKAT11392</w:t>
      </w:r>
    </w:p>
    <w:p w14:paraId="0C902663" w14:textId="2E26E063" w:rsidR="00B42703" w:rsidRPr="00194285" w:rsidRDefault="00B42703" w:rsidP="002027ED">
      <w:pPr>
        <w:pStyle w:val="F2-zkladn"/>
        <w:rPr>
          <w:lang w:val="de-AT"/>
        </w:rPr>
      </w:pPr>
    </w:p>
    <w:sectPr w:rsidR="00B42703" w:rsidRPr="00194285" w:rsidSect="002F1160">
      <w:headerReference w:type="default" r:id="rId16"/>
      <w:footerReference w:type="default" r:id="rId17"/>
      <w:headerReference w:type="first" r:id="rId18"/>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3245" w14:textId="77777777" w:rsidR="00F8360A" w:rsidRDefault="00F8360A">
      <w:r>
        <w:separator/>
      </w:r>
    </w:p>
  </w:endnote>
  <w:endnote w:type="continuationSeparator" w:id="0">
    <w:p w14:paraId="5BFE8B33" w14:textId="77777777" w:rsidR="00F8360A" w:rsidRDefault="00F8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A3C6" w14:textId="77777777" w:rsidR="00F8360A" w:rsidRDefault="00F8360A">
      <w:r>
        <w:separator/>
      </w:r>
    </w:p>
  </w:footnote>
  <w:footnote w:type="continuationSeparator" w:id="0">
    <w:p w14:paraId="2B3B93AA" w14:textId="77777777" w:rsidR="00F8360A" w:rsidRDefault="00F8360A">
      <w:r>
        <w:continuationSeparator/>
      </w:r>
    </w:p>
  </w:footnote>
  <w:footnote w:type="continuationNotice" w:id="1">
    <w:p w14:paraId="409009B2" w14:textId="77777777" w:rsidR="00F8360A" w:rsidRDefault="00F83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5"/>
  </w:num>
  <w:num w:numId="2" w16cid:durableId="1638339720">
    <w:abstractNumId w:val="21"/>
  </w:num>
  <w:num w:numId="3" w16cid:durableId="1582174134">
    <w:abstractNumId w:val="23"/>
  </w:num>
  <w:num w:numId="4" w16cid:durableId="1727561179">
    <w:abstractNumId w:val="17"/>
  </w:num>
  <w:num w:numId="5" w16cid:durableId="56979214">
    <w:abstractNumId w:val="18"/>
  </w:num>
  <w:num w:numId="6" w16cid:durableId="52699439">
    <w:abstractNumId w:val="16"/>
  </w:num>
  <w:num w:numId="7" w16cid:durableId="1526748972">
    <w:abstractNumId w:val="22"/>
  </w:num>
  <w:num w:numId="8" w16cid:durableId="1090007024">
    <w:abstractNumId w:val="19"/>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4"/>
  </w:num>
  <w:num w:numId="21" w16cid:durableId="1552955819">
    <w:abstractNumId w:val="20"/>
  </w:num>
  <w:num w:numId="22" w16cid:durableId="1722094048">
    <w:abstractNumId w:val="12"/>
  </w:num>
  <w:num w:numId="23" w16cid:durableId="1472819905">
    <w:abstractNumId w:val="10"/>
  </w:num>
  <w:num w:numId="24" w16cid:durableId="197964827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0309"/>
    <w:rsid w:val="00172511"/>
    <w:rsid w:val="00172F1C"/>
    <w:rsid w:val="0017506A"/>
    <w:rsid w:val="00177E1C"/>
    <w:rsid w:val="00177E5E"/>
    <w:rsid w:val="0018406F"/>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239"/>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D0CC4"/>
    <w:rsid w:val="002D0CD4"/>
    <w:rsid w:val="002D22C6"/>
    <w:rsid w:val="002D28A9"/>
    <w:rsid w:val="002D7CBC"/>
    <w:rsid w:val="002E3325"/>
    <w:rsid w:val="002E497E"/>
    <w:rsid w:val="002E76D1"/>
    <w:rsid w:val="002F0500"/>
    <w:rsid w:val="002F1160"/>
    <w:rsid w:val="002F7A8F"/>
    <w:rsid w:val="00301881"/>
    <w:rsid w:val="00303102"/>
    <w:rsid w:val="00307253"/>
    <w:rsid w:val="00307E7E"/>
    <w:rsid w:val="00310E2F"/>
    <w:rsid w:val="003172D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4077"/>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C5F47"/>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5B2D"/>
    <w:rsid w:val="005C74D1"/>
    <w:rsid w:val="005C7C7C"/>
    <w:rsid w:val="005D0735"/>
    <w:rsid w:val="005D1C98"/>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04C17"/>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0480"/>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4517"/>
    <w:rsid w:val="006D5F3A"/>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6B3"/>
    <w:rsid w:val="008958D8"/>
    <w:rsid w:val="008976A7"/>
    <w:rsid w:val="008A0E63"/>
    <w:rsid w:val="008A2257"/>
    <w:rsid w:val="008A33CE"/>
    <w:rsid w:val="008B1F88"/>
    <w:rsid w:val="008B298E"/>
    <w:rsid w:val="008B2B89"/>
    <w:rsid w:val="008B31D3"/>
    <w:rsid w:val="008B333F"/>
    <w:rsid w:val="008B383F"/>
    <w:rsid w:val="008B38AD"/>
    <w:rsid w:val="008B3FBF"/>
    <w:rsid w:val="008B44DA"/>
    <w:rsid w:val="008B4A06"/>
    <w:rsid w:val="008B5C9A"/>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1635"/>
    <w:rsid w:val="00AB297D"/>
    <w:rsid w:val="00AB7830"/>
    <w:rsid w:val="00AC031E"/>
    <w:rsid w:val="00AC31F2"/>
    <w:rsid w:val="00AC35C4"/>
    <w:rsid w:val="00AC4154"/>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2ECF"/>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4CBC"/>
    <w:rsid w:val="00CA6175"/>
    <w:rsid w:val="00CA74D2"/>
    <w:rsid w:val="00CA77AC"/>
    <w:rsid w:val="00CB089A"/>
    <w:rsid w:val="00CB0974"/>
    <w:rsid w:val="00CB4525"/>
    <w:rsid w:val="00CB5719"/>
    <w:rsid w:val="00CB596E"/>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40E"/>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1993"/>
    <w:rsid w:val="00F72BBB"/>
    <w:rsid w:val="00F735E8"/>
    <w:rsid w:val="00F739F2"/>
    <w:rsid w:val="00F73CCF"/>
    <w:rsid w:val="00F74FE5"/>
    <w:rsid w:val="00F750B6"/>
    <w:rsid w:val="00F76B07"/>
    <w:rsid w:val="00F80AE3"/>
    <w:rsid w:val="00F8360A"/>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1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yperlink" Target="mailto:eliska.krohova@crestco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PowerPoint_Slide.sldx"/></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9665</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11280</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2023-04-28T08:54:00Z</dcterms:created>
  <dcterms:modified xsi:type="dcterms:W3CDTF">2023-04-28T08:54:00Z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